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/>
        <w:ind w:firstLine="470" w:left="34"/>
        <w:jc w:val="right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470" w:left="34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2024 рік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tbl>
      <w:tblPr>
        <w:tblW w:w="15309" w:type="dxa"/>
        <w:tblInd w:w="108" w:type="dxa"/>
        <w:tblBorders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1.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головного розпорядника коштів програми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відповідального виконавця програми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3.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/>
            <w:bookmarkStart w:id="0" w:name="_Hlk156206207"/>
            <w:r/>
            <w:bookmarkStart w:id="1" w:name="_Hlk156204360"/>
            <w:r>
              <w:rPr>
                <w:rFonts w:ascii="Times New Roman" w:hAnsi="Times New Roman"/>
                <w:bCs/>
                <w:color w:val="auto"/>
                <w:sz w:val="28"/>
                <w:szCs w:val="28"/>
                <w:lang w:val="uk-UA"/>
              </w:rPr>
              <w:t xml:space="preserve">П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рограми 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життєво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важливих функцій на 2023-2024 роки</w:t>
            </w:r>
            <w:bookmarkEnd w:id="0"/>
            <w:r/>
            <w:bookmarkEnd w:id="1"/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затверджена розпорядженням начальника Чернігівської обласної  військової адміністрації 15 червня 2023 року № 367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програми, дата і номер рішення обласної ради про її затвердження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470" w:left="34"/>
        <w:jc w:val="center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p>
      <w:pPr>
        <w:pBdr/>
        <w:shd w:val="clear" w:color="auto" w:fill="ffffff"/>
        <w:tabs>
          <w:tab w:val="left" w:leader="none" w:pos="3686"/>
        </w:tabs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</w:t>
      </w:r>
      <w:r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Програми</w:t>
      </w:r>
      <w:r>
        <w:rPr>
          <w:rFonts w:ascii="Times New Roman" w:hAnsi="Times New Roman"/>
          <w:color w:val="auto"/>
          <w:szCs w:val="24"/>
          <w:u w:val="single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</w:r>
      <w:r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життєво</w:t>
      </w:r>
      <w:r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важливих функцій на 2023-2024 роки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color w:val="auto"/>
          <w:szCs w:val="24"/>
          <w:lang w:val="uk-UA"/>
        </w:rPr>
        <w:t xml:space="preserve">___________________________________________________________________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  <w:t xml:space="preserve">        (назва програми)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tbl>
      <w:tblPr>
        <w:tblW w:w="155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>
        <w:trPr/>
        <w:tc>
          <w:tcPr>
            <w:tcBorders/>
            <w:tcW w:w="53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№ з/п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Захід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Головний виконавець та строк виконання заходу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5394" w:type="dxa"/>
            <w:textDirection w:val="lrTb"/>
            <w:noWrap w:val="false"/>
          </w:tcPr>
          <w:p>
            <w:pPr>
              <w:pBdr/>
              <w:spacing/>
              <w:ind w:right="-113" w:left="-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50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 w:left="-108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Стан виконання заходів (результативні показники виконання програми)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847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5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32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299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8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т.ч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1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т.ч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1691"/>
        </w:trPr>
        <w:tc>
          <w:tcPr>
            <w:tcBorders/>
            <w:tcW w:w="5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textDirection w:val="lrTb"/>
            <w:noWrap w:val="false"/>
          </w:tcPr>
          <w:p>
            <w:pPr>
              <w:pStyle w:val="637"/>
              <w:pBdr/>
              <w:spacing/>
              <w:ind/>
              <w:jc w:val="center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Департа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-мент з питань ЦЗ та ОР ОДА,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2024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841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95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2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6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 w:right="-112" w:left="3"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2024 році не передбачалося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фінансуван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-ня заходів Програми з обласного бюджету.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5. Аналіз виконання за видатками в цілому за програмою: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right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тис. грн.</w:t>
      </w:r>
      <w:r>
        <w:rPr>
          <w:rFonts w:ascii="Times New Roman" w:hAnsi="Times New Roman"/>
          <w:color w:val="auto"/>
          <w:szCs w:val="24"/>
          <w:lang w:val="uk-UA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97"/>
        <w:gridCol w:w="1706"/>
        <w:gridCol w:w="1717"/>
        <w:gridCol w:w="1697"/>
        <w:gridCol w:w="1706"/>
        <w:gridCol w:w="1718"/>
        <w:gridCol w:w="1689"/>
        <w:gridCol w:w="1706"/>
        <w:gridCol w:w="1718"/>
      </w:tblGrid>
      <w:tr>
        <w:trPr/>
        <w:tc>
          <w:tcPr>
            <w:gridSpan w:val="3"/>
            <w:tcBorders/>
            <w:tcW w:w="51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51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51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Відхилення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720"/>
        </w:trPr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231"/>
        </w:trPr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sectPr>
      <w:footnotePr/>
      <w:endnotePr/>
      <w:type w:val="nextPage"/>
      <w:pgSz w:h="11906" w:orient="landscape" w:w="16838"/>
      <w:pgMar w:top="567" w:right="850" w:bottom="850" w:left="85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ntiqua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1"/>
    <w:link w:val="6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1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1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  <w:rPr>
      <w:rFonts w:ascii="Antiqua" w:hAnsi="Antiqua" w:eastAsia="Times New Roman"/>
      <w:color w:val="000000"/>
      <w:sz w:val="24"/>
      <w:lang w:val="en-US" w:eastAsia="ru-RU"/>
    </w:rPr>
  </w:style>
  <w:style w:type="paragraph" w:styleId="630">
    <w:name w:val="Heading 1"/>
    <w:basedOn w:val="629"/>
    <w:next w:val="629"/>
    <w:link w:val="634"/>
    <w:uiPriority w:val="99"/>
    <w:qFormat/>
    <w:pPr>
      <w:keepNext w:val="true"/>
      <w:pBdr/>
      <w:spacing/>
      <w:ind/>
      <w:jc w:val="center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styleId="631" w:default="1">
    <w:name w:val="Default Paragraph Font"/>
    <w:uiPriority w:val="1"/>
    <w:semiHidden/>
    <w:unhideWhenUsed/>
    <w:pPr>
      <w:pBdr/>
      <w:spacing/>
      <w:ind/>
    </w:pPr>
  </w:style>
  <w:style w:type="table" w:styleId="6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3" w:default="1">
    <w:name w:val="No List"/>
    <w:uiPriority w:val="99"/>
    <w:semiHidden/>
    <w:unhideWhenUsed/>
    <w:pPr>
      <w:pBdr/>
      <w:spacing/>
      <w:ind/>
    </w:pPr>
  </w:style>
  <w:style w:type="character" w:styleId="634" w:customStyle="1">
    <w:name w:val="Заголовок 1 Знак"/>
    <w:link w:val="630"/>
    <w:uiPriority w:val="99"/>
    <w:pPr>
      <w:pBdr/>
      <w:spacing/>
      <w:ind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635" w:customStyle="1">
    <w:name w:val="Знак Знак Знак Знак"/>
    <w:basedOn w:val="629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36" w:customStyle="1">
    <w:name w:val="Знак Знак Знак Знак2"/>
    <w:basedOn w:val="629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37" w:customStyle="1">
    <w:name w:val="Default"/>
    <w:uiPriority w:val="99"/>
    <w:pPr>
      <w:pBdr/>
      <w:spacing/>
      <w:ind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638" w:customStyle="1">
    <w:name w:val="Знак Знак Знак Знак1"/>
    <w:basedOn w:val="629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Anonymous</cp:lastModifiedBy>
  <cp:revision>84</cp:revision>
  <dcterms:created xsi:type="dcterms:W3CDTF">2023-01-23T10:19:00Z</dcterms:created>
  <dcterms:modified xsi:type="dcterms:W3CDTF">2025-01-21T12:55:22Z</dcterms:modified>
</cp:coreProperties>
</file>